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EEF89">
      <w:pPr>
        <w:spacing w:line="360" w:lineRule="auto"/>
        <w:ind w:firstLine="0" w:firstLineChars="0"/>
        <w:jc w:val="left"/>
        <w:rPr>
          <w:rFonts w:eastAsia="仿宋"/>
          <w:sz w:val="24"/>
        </w:rPr>
      </w:pPr>
      <w:bookmarkStart w:id="0" w:name="OLE_LINK2"/>
      <w:bookmarkStart w:id="2" w:name="_GoBack"/>
      <w:bookmarkEnd w:id="2"/>
      <w:r>
        <w:rPr>
          <w:rFonts w:hint="eastAsia" w:eastAsia="仿宋"/>
          <w:sz w:val="24"/>
        </w:rPr>
        <w:t>附件1</w:t>
      </w:r>
    </w:p>
    <w:p w14:paraId="38884445">
      <w:pPr>
        <w:spacing w:line="360" w:lineRule="auto"/>
        <w:ind w:firstLine="0" w:firstLineChars="0"/>
        <w:jc w:val="center"/>
        <w:rPr>
          <w:rFonts w:cs="Times New Roman"/>
          <w:b/>
          <w:sz w:val="24"/>
        </w:rPr>
      </w:pPr>
      <w:bookmarkStart w:id="1" w:name="OLE_LINK1"/>
      <w:r>
        <w:rPr>
          <w:rFonts w:cs="Times New Roman"/>
          <w:b/>
          <w:sz w:val="24"/>
        </w:rPr>
        <w:t>202</w:t>
      </w:r>
      <w:r>
        <w:rPr>
          <w:rFonts w:hint="eastAsia" w:cs="Times New Roman"/>
          <w:b/>
          <w:sz w:val="24"/>
        </w:rPr>
        <w:t>6</w:t>
      </w:r>
      <w:r>
        <w:rPr>
          <w:rFonts w:cs="Times New Roman"/>
          <w:b/>
          <w:sz w:val="24"/>
        </w:rPr>
        <w:t>CTTI来源智库增补标准</w:t>
      </w:r>
    </w:p>
    <w:bookmarkEnd w:id="1"/>
    <w:tbl>
      <w:tblPr>
        <w:tblStyle w:val="6"/>
        <w:tblW w:w="8697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2143"/>
        <w:gridCol w:w="5011"/>
      </w:tblGrid>
      <w:tr w14:paraId="7F81DA2C">
        <w:trPr>
          <w:trHeight w:val="528" w:hRule="atLeast"/>
        </w:trPr>
        <w:tc>
          <w:tcPr>
            <w:tcW w:w="1543" w:type="dxa"/>
            <w:vAlign w:val="center"/>
          </w:tcPr>
          <w:p w14:paraId="5EAFDB50">
            <w:pPr>
              <w:spacing w:line="360" w:lineRule="auto"/>
              <w:ind w:firstLine="0" w:firstLineChars="0"/>
              <w:jc w:val="center"/>
              <w:rPr>
                <w:rFonts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cs="Times New Roman"/>
                <w:b/>
                <w:bCs/>
                <w:kern w:val="0"/>
                <w:sz w:val="21"/>
                <w:szCs w:val="21"/>
              </w:rPr>
              <w:t>考评项目</w:t>
            </w:r>
          </w:p>
        </w:tc>
        <w:tc>
          <w:tcPr>
            <w:tcW w:w="2143" w:type="dxa"/>
            <w:vAlign w:val="center"/>
          </w:tcPr>
          <w:p w14:paraId="1B7D7A82">
            <w:pPr>
              <w:spacing w:line="360" w:lineRule="auto"/>
              <w:ind w:firstLine="0" w:firstLineChars="0"/>
              <w:jc w:val="center"/>
              <w:rPr>
                <w:rFonts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cs="Times New Roman"/>
                <w:b/>
                <w:bCs/>
                <w:kern w:val="0"/>
                <w:sz w:val="21"/>
                <w:szCs w:val="21"/>
              </w:rPr>
              <w:t>考评内容</w:t>
            </w:r>
          </w:p>
        </w:tc>
        <w:tc>
          <w:tcPr>
            <w:tcW w:w="5011" w:type="dxa"/>
            <w:vAlign w:val="center"/>
          </w:tcPr>
          <w:p w14:paraId="37D19D07">
            <w:pPr>
              <w:spacing w:line="360" w:lineRule="auto"/>
              <w:ind w:firstLine="0" w:firstLineChars="0"/>
              <w:jc w:val="center"/>
              <w:rPr>
                <w:rFonts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cs="Times New Roman"/>
                <w:b/>
                <w:bCs/>
                <w:kern w:val="0"/>
                <w:sz w:val="21"/>
                <w:szCs w:val="21"/>
              </w:rPr>
              <w:t>指标解释</w:t>
            </w:r>
          </w:p>
        </w:tc>
      </w:tr>
      <w:tr w14:paraId="6871802B">
        <w:trPr>
          <w:trHeight w:val="438" w:hRule="atLeast"/>
        </w:trPr>
        <w:tc>
          <w:tcPr>
            <w:tcW w:w="1543" w:type="dxa"/>
            <w:vMerge w:val="restart"/>
            <w:vAlign w:val="center"/>
          </w:tcPr>
          <w:p w14:paraId="339BD8E0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资格证明</w:t>
            </w:r>
          </w:p>
        </w:tc>
        <w:tc>
          <w:tcPr>
            <w:tcW w:w="2143" w:type="dxa"/>
            <w:vMerge w:val="restart"/>
            <w:vAlign w:val="center"/>
          </w:tcPr>
          <w:p w14:paraId="7CDBCBD5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机构性质</w:t>
            </w:r>
          </w:p>
        </w:tc>
        <w:tc>
          <w:tcPr>
            <w:tcW w:w="5011" w:type="dxa"/>
            <w:vAlign w:val="center"/>
          </w:tcPr>
          <w:p w14:paraId="1727AF01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智库应为依法合规设立、组织形式相对稳定、运行规范并持续开展智库研究的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非营利性</w:t>
            </w:r>
            <w:r>
              <w:rPr>
                <w:rFonts w:cs="Times New Roman"/>
                <w:kern w:val="0"/>
                <w:sz w:val="21"/>
                <w:szCs w:val="21"/>
              </w:rPr>
              <w:t>研究机构</w:t>
            </w:r>
          </w:p>
        </w:tc>
      </w:tr>
      <w:tr w14:paraId="6431B86D">
        <w:trPr>
          <w:trHeight w:val="438" w:hRule="atLeast"/>
        </w:trPr>
        <w:tc>
          <w:tcPr>
            <w:tcW w:w="1543" w:type="dxa"/>
            <w:vMerge w:val="continue"/>
            <w:vAlign w:val="center"/>
          </w:tcPr>
          <w:p w14:paraId="654EE469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Merge w:val="continue"/>
            <w:vAlign w:val="center"/>
          </w:tcPr>
          <w:p w14:paraId="1E9D747A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5011" w:type="dxa"/>
            <w:vAlign w:val="center"/>
          </w:tcPr>
          <w:p w14:paraId="198A281E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申报智库应于2023年9月及以前依法设立或登记注册，截至2026年9月连续建设、运行满三年。成立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日期</w:t>
            </w:r>
            <w:r>
              <w:rPr>
                <w:rFonts w:cs="Times New Roman"/>
                <w:kern w:val="0"/>
                <w:sz w:val="21"/>
                <w:szCs w:val="21"/>
              </w:rPr>
              <w:t>以相关批准成立文件、登记注册文件或其他能够证明成立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日期</w:t>
            </w:r>
            <w:r>
              <w:rPr>
                <w:rFonts w:cs="Times New Roman"/>
                <w:kern w:val="0"/>
                <w:sz w:val="21"/>
                <w:szCs w:val="21"/>
              </w:rPr>
              <w:t>的有效材料为准</w:t>
            </w:r>
          </w:p>
        </w:tc>
      </w:tr>
      <w:tr w14:paraId="3E94377B">
        <w:trPr>
          <w:trHeight w:val="530" w:hRule="atLeast"/>
        </w:trPr>
        <w:tc>
          <w:tcPr>
            <w:tcW w:w="1543" w:type="dxa"/>
            <w:vAlign w:val="center"/>
          </w:tcPr>
          <w:p w14:paraId="627D09E8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政治要求</w:t>
            </w:r>
          </w:p>
        </w:tc>
        <w:tc>
          <w:tcPr>
            <w:tcW w:w="2143" w:type="dxa"/>
            <w:vAlign w:val="center"/>
          </w:tcPr>
          <w:p w14:paraId="71F20117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意识形态安全</w:t>
            </w:r>
          </w:p>
        </w:tc>
        <w:tc>
          <w:tcPr>
            <w:tcW w:w="5011" w:type="dxa"/>
            <w:vAlign w:val="center"/>
          </w:tcPr>
          <w:p w14:paraId="6C20BA33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智库成立以来未发生重大舆情与意识形态安全问题</w:t>
            </w:r>
          </w:p>
        </w:tc>
      </w:tr>
      <w:tr w14:paraId="5BCEF442">
        <w:trPr>
          <w:trHeight w:val="814" w:hRule="atLeast"/>
        </w:trPr>
        <w:tc>
          <w:tcPr>
            <w:tcW w:w="1543" w:type="dxa"/>
            <w:vMerge w:val="restart"/>
            <w:vAlign w:val="center"/>
          </w:tcPr>
          <w:p w14:paraId="57213463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基础建设</w:t>
            </w:r>
          </w:p>
        </w:tc>
        <w:tc>
          <w:tcPr>
            <w:tcW w:w="2143" w:type="dxa"/>
            <w:vAlign w:val="center"/>
          </w:tcPr>
          <w:p w14:paraId="2FE3977A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团队建设</w:t>
            </w:r>
          </w:p>
        </w:tc>
        <w:tc>
          <w:tcPr>
            <w:tcW w:w="5011" w:type="dxa"/>
            <w:vAlign w:val="center"/>
          </w:tcPr>
          <w:p w14:paraId="4936F12C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拥有一定规模的高质量专、兼职研究团队，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并</w:t>
            </w:r>
            <w:r>
              <w:rPr>
                <w:rFonts w:cs="Times New Roman"/>
                <w:kern w:val="0"/>
                <w:sz w:val="21"/>
                <w:szCs w:val="21"/>
              </w:rPr>
              <w:t>聘有全职行政人员</w:t>
            </w:r>
          </w:p>
        </w:tc>
      </w:tr>
      <w:tr w14:paraId="42229EEE"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2D7D6890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3F2114F5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资金保障与使用</w:t>
            </w:r>
          </w:p>
        </w:tc>
        <w:tc>
          <w:tcPr>
            <w:tcW w:w="5011" w:type="dxa"/>
            <w:vAlign w:val="center"/>
          </w:tcPr>
          <w:p w14:paraId="732DE121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有稳定、可持续的资金来源</w:t>
            </w:r>
          </w:p>
        </w:tc>
      </w:tr>
      <w:tr w14:paraId="0B6B7DA2"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4537F889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0F468513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出版物</w:t>
            </w:r>
          </w:p>
        </w:tc>
        <w:tc>
          <w:tcPr>
            <w:tcW w:w="5011" w:type="dxa"/>
            <w:vAlign w:val="center"/>
          </w:tcPr>
          <w:p w14:paraId="1F6BF38F">
            <w:pPr>
              <w:widowControl/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智库主办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的连续</w:t>
            </w:r>
            <w:r>
              <w:rPr>
                <w:rFonts w:cs="Times New Roman"/>
                <w:kern w:val="0"/>
                <w:sz w:val="21"/>
                <w:szCs w:val="21"/>
              </w:rPr>
              <w:t>出版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的公开</w:t>
            </w:r>
            <w:r>
              <w:rPr>
                <w:rFonts w:cs="Times New Roman"/>
                <w:kern w:val="0"/>
                <w:sz w:val="21"/>
                <w:szCs w:val="21"/>
              </w:rPr>
              <w:t>刊物或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内部刊物</w:t>
            </w:r>
          </w:p>
        </w:tc>
      </w:tr>
      <w:tr w14:paraId="79F6801C">
        <w:trPr>
          <w:trHeight w:val="50" w:hRule="atLeast"/>
        </w:trPr>
        <w:tc>
          <w:tcPr>
            <w:tcW w:w="1543" w:type="dxa"/>
            <w:vMerge w:val="continue"/>
            <w:vAlign w:val="center"/>
          </w:tcPr>
          <w:p w14:paraId="35BF6AAC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0B6C1284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官网和新媒体</w:t>
            </w:r>
          </w:p>
        </w:tc>
        <w:tc>
          <w:tcPr>
            <w:tcW w:w="5011" w:type="dxa"/>
            <w:vAlign w:val="center"/>
          </w:tcPr>
          <w:p w14:paraId="4C0F171D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有相对独立、运行良好的官方网站，建立官方社交账号并定期更新</w:t>
            </w:r>
          </w:p>
        </w:tc>
      </w:tr>
      <w:tr w14:paraId="1A90E71E">
        <w:trPr>
          <w:trHeight w:val="63" w:hRule="atLeast"/>
        </w:trPr>
        <w:tc>
          <w:tcPr>
            <w:tcW w:w="1543" w:type="dxa"/>
            <w:vMerge w:val="continue"/>
            <w:tcBorders>
              <w:bottom w:val="single" w:color="auto" w:sz="4" w:space="0"/>
            </w:tcBorders>
            <w:vAlign w:val="center"/>
          </w:tcPr>
          <w:p w14:paraId="009DA471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bottom w:val="single" w:color="auto" w:sz="4" w:space="0"/>
            </w:tcBorders>
            <w:vAlign w:val="center"/>
          </w:tcPr>
          <w:p w14:paraId="3ABA36AD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数智化</w:t>
            </w:r>
            <w:r>
              <w:rPr>
                <w:rFonts w:cs="Times New Roman"/>
                <w:kern w:val="0"/>
                <w:sz w:val="21"/>
                <w:szCs w:val="21"/>
              </w:rPr>
              <w:t>建设</w:t>
            </w:r>
          </w:p>
        </w:tc>
        <w:tc>
          <w:tcPr>
            <w:tcW w:w="5011" w:type="dxa"/>
            <w:tcBorders>
              <w:bottom w:val="single" w:color="auto" w:sz="4" w:space="0"/>
            </w:tcBorders>
            <w:vAlign w:val="center"/>
          </w:tcPr>
          <w:p w14:paraId="14D06A76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智库拥有</w:t>
            </w:r>
            <w:r>
              <w:rPr>
                <w:rFonts w:cs="Times New Roman"/>
                <w:kern w:val="0"/>
                <w:sz w:val="21"/>
                <w:szCs w:val="21"/>
              </w:rPr>
              <w:t>自建、共建数据库，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并</w:t>
            </w:r>
            <w:r>
              <w:rPr>
                <w:rFonts w:cs="Times New Roman"/>
                <w:kern w:val="0"/>
                <w:sz w:val="21"/>
                <w:szCs w:val="21"/>
              </w:rPr>
              <w:t>配有信息化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、数字化和智能化</w:t>
            </w:r>
            <w:r>
              <w:rPr>
                <w:rFonts w:cs="Times New Roman"/>
                <w:kern w:val="0"/>
                <w:sz w:val="21"/>
                <w:szCs w:val="21"/>
              </w:rPr>
              <w:t>系统</w:t>
            </w:r>
          </w:p>
        </w:tc>
      </w:tr>
      <w:tr w14:paraId="08BD4333">
        <w:trPr>
          <w:trHeight w:val="63" w:hRule="atLeast"/>
        </w:trPr>
        <w:tc>
          <w:tcPr>
            <w:tcW w:w="1543" w:type="dxa"/>
            <w:vMerge w:val="restart"/>
            <w:vAlign w:val="center"/>
          </w:tcPr>
          <w:p w14:paraId="43FF30DB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课题与项目</w:t>
            </w:r>
          </w:p>
        </w:tc>
        <w:tc>
          <w:tcPr>
            <w:tcW w:w="2143" w:type="dxa"/>
            <w:tcBorders>
              <w:bottom w:val="single" w:color="auto" w:sz="4" w:space="0"/>
            </w:tcBorders>
            <w:vAlign w:val="center"/>
          </w:tcPr>
          <w:p w14:paraId="30021BEC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科研经费</w:t>
            </w:r>
          </w:p>
        </w:tc>
        <w:tc>
          <w:tcPr>
            <w:tcW w:w="5011" w:type="dxa"/>
            <w:tcBorders>
              <w:bottom w:val="single" w:color="auto" w:sz="4" w:space="0"/>
            </w:tcBorders>
            <w:vAlign w:val="center"/>
          </w:tcPr>
          <w:p w14:paraId="5BF608D2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近</w:t>
            </w:r>
            <w:r>
              <w:rPr>
                <w:rFonts w:cs="Times New Roman"/>
                <w:kern w:val="0"/>
                <w:sz w:val="21"/>
                <w:szCs w:val="21"/>
              </w:rPr>
              <w:t>三年累计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到账科研经费2</w:t>
            </w:r>
            <w:r>
              <w:rPr>
                <w:rFonts w:cs="Times New Roman"/>
                <w:kern w:val="0"/>
                <w:sz w:val="21"/>
                <w:szCs w:val="21"/>
              </w:rPr>
              <w:t>00万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元及</w:t>
            </w:r>
            <w:r>
              <w:rPr>
                <w:rFonts w:cs="Times New Roman"/>
                <w:kern w:val="0"/>
                <w:sz w:val="21"/>
                <w:szCs w:val="21"/>
              </w:rPr>
              <w:t>以上</w:t>
            </w:r>
          </w:p>
        </w:tc>
      </w:tr>
      <w:tr w14:paraId="73D9D649"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5FC7A603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bottom w:val="single" w:color="auto" w:sz="4" w:space="0"/>
            </w:tcBorders>
            <w:vAlign w:val="center"/>
          </w:tcPr>
          <w:p w14:paraId="09389A8F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eastAsia="zh-CN"/>
              </w:rPr>
              <w:t>党委、政府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委托课题</w:t>
            </w:r>
          </w:p>
        </w:tc>
        <w:tc>
          <w:tcPr>
            <w:tcW w:w="5011" w:type="dxa"/>
            <w:tcBorders>
              <w:bottom w:val="single" w:color="auto" w:sz="4" w:space="0"/>
            </w:tcBorders>
            <w:vAlign w:val="center"/>
          </w:tcPr>
          <w:p w14:paraId="5B8E0EC7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近三年智库</w:t>
            </w:r>
            <w:r>
              <w:rPr>
                <w:rFonts w:cs="Times New Roman"/>
                <w:kern w:val="0"/>
                <w:sz w:val="21"/>
                <w:szCs w:val="21"/>
              </w:rPr>
              <w:t>承担</w:t>
            </w:r>
            <w:r>
              <w:rPr>
                <w:rFonts w:hint="eastAsia" w:cs="Times New Roman"/>
                <w:kern w:val="0"/>
                <w:sz w:val="21"/>
                <w:szCs w:val="21"/>
                <w:lang w:eastAsia="zh-CN"/>
              </w:rPr>
              <w:t>党委、政府</w:t>
            </w:r>
            <w:r>
              <w:rPr>
                <w:rFonts w:cs="Times New Roman"/>
                <w:kern w:val="0"/>
                <w:sz w:val="21"/>
                <w:szCs w:val="21"/>
              </w:rPr>
              <w:t>部门委托的课题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5项以上</w:t>
            </w:r>
          </w:p>
        </w:tc>
      </w:tr>
      <w:tr w14:paraId="3CC0329B">
        <w:trPr>
          <w:trHeight w:val="63" w:hRule="atLeast"/>
        </w:trPr>
        <w:tc>
          <w:tcPr>
            <w:tcW w:w="1543" w:type="dxa"/>
            <w:vMerge w:val="continue"/>
            <w:tcBorders>
              <w:bottom w:val="single" w:color="auto" w:sz="4" w:space="0"/>
            </w:tcBorders>
            <w:vAlign w:val="center"/>
          </w:tcPr>
          <w:p w14:paraId="06FEA13D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bottom w:val="single" w:color="auto" w:sz="4" w:space="0"/>
            </w:tcBorders>
            <w:vAlign w:val="center"/>
          </w:tcPr>
          <w:p w14:paraId="717C583B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社会服务类项目</w:t>
            </w:r>
          </w:p>
        </w:tc>
        <w:tc>
          <w:tcPr>
            <w:tcW w:w="5011" w:type="dxa"/>
            <w:tcBorders>
              <w:bottom w:val="single" w:color="auto" w:sz="4" w:space="0"/>
            </w:tcBorders>
            <w:vAlign w:val="center"/>
          </w:tcPr>
          <w:p w14:paraId="4A51BCAE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近三年智库承接社会各界委托的课题累计6项以上</w:t>
            </w:r>
          </w:p>
        </w:tc>
      </w:tr>
      <w:tr w14:paraId="364EC394">
        <w:trPr>
          <w:trHeight w:val="63" w:hRule="atLeast"/>
        </w:trPr>
        <w:tc>
          <w:tcPr>
            <w:tcW w:w="15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24484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决策咨询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B5E7C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优秀成果获批示采纳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48F6B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近三年智库</w:t>
            </w:r>
            <w:r>
              <w:rPr>
                <w:rFonts w:cs="Times New Roman"/>
                <w:kern w:val="0"/>
                <w:sz w:val="21"/>
                <w:szCs w:val="21"/>
              </w:rPr>
              <w:t>提交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的</w:t>
            </w:r>
            <w:r>
              <w:rPr>
                <w:rFonts w:cs="Times New Roman"/>
                <w:kern w:val="0"/>
                <w:sz w:val="21"/>
                <w:szCs w:val="21"/>
              </w:rPr>
              <w:t>研究成果受到采纳或批示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5项以上</w:t>
            </w:r>
          </w:p>
        </w:tc>
      </w:tr>
      <w:tr w14:paraId="0C616AFE">
        <w:trPr>
          <w:trHeight w:val="63" w:hRule="atLeast"/>
        </w:trPr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1D817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B9D3B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为厅局级及以上部门提供政策咨询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BC717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近三年智库</w:t>
            </w:r>
            <w:r>
              <w:rPr>
                <w:rFonts w:cs="Times New Roman"/>
                <w:kern w:val="0"/>
                <w:sz w:val="21"/>
                <w:szCs w:val="21"/>
              </w:rPr>
              <w:t>参与厅局级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及</w:t>
            </w:r>
            <w:r>
              <w:rPr>
                <w:rFonts w:cs="Times New Roman"/>
                <w:kern w:val="0"/>
                <w:sz w:val="21"/>
                <w:szCs w:val="21"/>
              </w:rPr>
              <w:t>以上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单位的</w:t>
            </w:r>
            <w:r>
              <w:rPr>
                <w:rFonts w:cs="Times New Roman"/>
                <w:kern w:val="0"/>
                <w:sz w:val="21"/>
                <w:szCs w:val="21"/>
              </w:rPr>
              <w:t>咨政活动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5次以上</w:t>
            </w:r>
            <w:r>
              <w:rPr>
                <w:rFonts w:cs="Times New Roman"/>
                <w:kern w:val="0"/>
                <w:sz w:val="21"/>
                <w:szCs w:val="21"/>
              </w:rPr>
              <w:t>，包括但不限于参与论证会、座谈会、协商会、听证会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等</w:t>
            </w:r>
          </w:p>
        </w:tc>
      </w:tr>
      <w:tr w14:paraId="686580CF">
        <w:trPr>
          <w:trHeight w:val="63" w:hRule="atLeast"/>
        </w:trPr>
        <w:tc>
          <w:tcPr>
            <w:tcW w:w="15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23724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理论创新和舆论引导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A21A4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学术研究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967F2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形成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的</w:t>
            </w:r>
            <w:r>
              <w:rPr>
                <w:rFonts w:cs="Times New Roman"/>
                <w:kern w:val="0"/>
                <w:sz w:val="21"/>
                <w:szCs w:val="21"/>
              </w:rPr>
              <w:t>有重要影响的理论创新成果</w:t>
            </w:r>
          </w:p>
        </w:tc>
      </w:tr>
      <w:tr w14:paraId="07456E28">
        <w:trPr>
          <w:trHeight w:val="277" w:hRule="atLeast"/>
        </w:trPr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B737F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A90FF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重大活动能见度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979E1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围绕重大活动</w:t>
            </w:r>
            <w:r>
              <w:rPr>
                <w:rFonts w:cs="Times New Roman"/>
                <w:kern w:val="0"/>
                <w:sz w:val="21"/>
                <w:szCs w:val="21"/>
              </w:rPr>
              <w:t>接受中央级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或</w:t>
            </w:r>
            <w:r>
              <w:rPr>
                <w:rFonts w:cs="Times New Roman"/>
                <w:kern w:val="0"/>
                <w:sz w:val="21"/>
                <w:szCs w:val="21"/>
              </w:rPr>
              <w:t>省级新闻媒体采访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及</w:t>
            </w:r>
            <w:r>
              <w:rPr>
                <w:rFonts w:cs="Times New Roman"/>
                <w:kern w:val="0"/>
                <w:sz w:val="21"/>
                <w:szCs w:val="21"/>
              </w:rPr>
              <w:t>发表代表性成果</w:t>
            </w:r>
          </w:p>
        </w:tc>
      </w:tr>
      <w:tr w14:paraId="14EA773C">
        <w:trPr>
          <w:trHeight w:val="63" w:hRule="atLeast"/>
        </w:trPr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F979A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7A2B9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重大舆情引导能见度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A5A63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智库针对重大舆情事件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接受</w:t>
            </w:r>
            <w:r>
              <w:rPr>
                <w:rFonts w:cs="Times New Roman"/>
                <w:kern w:val="0"/>
                <w:sz w:val="21"/>
                <w:szCs w:val="21"/>
              </w:rPr>
              <w:t>中央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级或</w:t>
            </w:r>
            <w:r>
              <w:rPr>
                <w:rFonts w:cs="Times New Roman"/>
                <w:kern w:val="0"/>
                <w:sz w:val="21"/>
                <w:szCs w:val="21"/>
              </w:rPr>
              <w:t>省级新闻媒体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采访及</w:t>
            </w:r>
            <w:r>
              <w:rPr>
                <w:rFonts w:cs="Times New Roman"/>
                <w:kern w:val="0"/>
                <w:sz w:val="21"/>
                <w:szCs w:val="21"/>
              </w:rPr>
              <w:t>发文</w:t>
            </w:r>
          </w:p>
        </w:tc>
      </w:tr>
      <w:tr w14:paraId="5CC50C9D">
        <w:trPr>
          <w:trHeight w:val="615" w:hRule="atLeast"/>
        </w:trPr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D089A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F9A37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有效利用新媒体传播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C1882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在中央级网络新媒体平台、省级主流网络新媒体平台发表智库成果</w:t>
            </w:r>
          </w:p>
        </w:tc>
      </w:tr>
      <w:tr w14:paraId="4050C45D">
        <w:trPr>
          <w:trHeight w:val="63" w:hRule="atLeast"/>
        </w:trPr>
        <w:tc>
          <w:tcPr>
            <w:tcW w:w="1543" w:type="dxa"/>
            <w:vMerge w:val="restart"/>
            <w:vAlign w:val="center"/>
          </w:tcPr>
          <w:p w14:paraId="0E81D7A0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内部治理</w:t>
            </w:r>
          </w:p>
        </w:tc>
        <w:tc>
          <w:tcPr>
            <w:tcW w:w="2143" w:type="dxa"/>
            <w:vAlign w:val="center"/>
          </w:tcPr>
          <w:p w14:paraId="2639E0E1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管理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机构</w:t>
            </w:r>
          </w:p>
        </w:tc>
        <w:tc>
          <w:tcPr>
            <w:tcW w:w="5011" w:type="dxa"/>
            <w:vAlign w:val="center"/>
          </w:tcPr>
          <w:p w14:paraId="1574E3B8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有完备的组织章程，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设有</w:t>
            </w:r>
            <w:r>
              <w:rPr>
                <w:rFonts w:cs="Times New Roman"/>
                <w:kern w:val="0"/>
                <w:sz w:val="21"/>
                <w:szCs w:val="21"/>
              </w:rPr>
              <w:t>理事会、学术委员会等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机构；制定了</w:t>
            </w:r>
            <w:r>
              <w:rPr>
                <w:rFonts w:cs="Times New Roman"/>
                <w:kern w:val="0"/>
                <w:sz w:val="21"/>
                <w:szCs w:val="21"/>
              </w:rPr>
              <w:t>中长期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发展</w:t>
            </w:r>
            <w:r>
              <w:rPr>
                <w:rFonts w:cs="Times New Roman"/>
                <w:kern w:val="0"/>
                <w:sz w:val="21"/>
                <w:szCs w:val="21"/>
              </w:rPr>
              <w:t>规划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、年度工作计划</w:t>
            </w:r>
          </w:p>
        </w:tc>
      </w:tr>
      <w:tr w14:paraId="10BCD134">
        <w:trPr>
          <w:trHeight w:val="50" w:hRule="atLeast"/>
        </w:trPr>
        <w:tc>
          <w:tcPr>
            <w:tcW w:w="1543" w:type="dxa"/>
            <w:vMerge w:val="continue"/>
            <w:vAlign w:val="center"/>
          </w:tcPr>
          <w:p w14:paraId="7589F84D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49079DFB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考核与激励</w:t>
            </w:r>
          </w:p>
        </w:tc>
        <w:tc>
          <w:tcPr>
            <w:tcW w:w="5011" w:type="dxa"/>
            <w:vAlign w:val="center"/>
          </w:tcPr>
          <w:p w14:paraId="44447156">
            <w:pPr>
              <w:widowControl/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智库的成果</w:t>
            </w:r>
            <w:r>
              <w:rPr>
                <w:rFonts w:cs="Times New Roman"/>
                <w:kern w:val="0"/>
                <w:sz w:val="21"/>
                <w:szCs w:val="21"/>
              </w:rPr>
              <w:t>考核与激励制度</w:t>
            </w:r>
          </w:p>
        </w:tc>
      </w:tr>
      <w:tr w14:paraId="7A93A8F8"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36B26D04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760D03F9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经费管理</w:t>
            </w:r>
          </w:p>
        </w:tc>
        <w:tc>
          <w:tcPr>
            <w:tcW w:w="5011" w:type="dxa"/>
            <w:vAlign w:val="center"/>
          </w:tcPr>
          <w:p w14:paraId="6C5E5945">
            <w:pPr>
              <w:widowControl/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智库出台专项经费管理细则并切实规范执行的情况</w:t>
            </w:r>
          </w:p>
        </w:tc>
      </w:tr>
      <w:tr w14:paraId="0E416BE4"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0DC62A82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06596CCF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供需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对接</w:t>
            </w:r>
            <w:r>
              <w:rPr>
                <w:rFonts w:cs="Times New Roman"/>
                <w:kern w:val="0"/>
                <w:sz w:val="21"/>
                <w:szCs w:val="21"/>
              </w:rPr>
              <w:t>机制</w:t>
            </w:r>
          </w:p>
        </w:tc>
        <w:tc>
          <w:tcPr>
            <w:tcW w:w="5011" w:type="dxa"/>
            <w:vAlign w:val="center"/>
          </w:tcPr>
          <w:p w14:paraId="2FB001CA">
            <w:pPr>
              <w:tabs>
                <w:tab w:val="left" w:pos="846"/>
              </w:tabs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智库与政府实际工作部门建立常态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化</w:t>
            </w:r>
            <w:r>
              <w:rPr>
                <w:rFonts w:cs="Times New Roman"/>
                <w:kern w:val="0"/>
                <w:sz w:val="21"/>
                <w:szCs w:val="21"/>
              </w:rPr>
              <w:t>联系机制</w:t>
            </w:r>
          </w:p>
        </w:tc>
      </w:tr>
      <w:tr w14:paraId="737121A9">
        <w:trPr>
          <w:trHeight w:val="63" w:hRule="atLeast"/>
        </w:trPr>
        <w:tc>
          <w:tcPr>
            <w:tcW w:w="1543" w:type="dxa"/>
            <w:vMerge w:val="restart"/>
            <w:vAlign w:val="center"/>
          </w:tcPr>
          <w:p w14:paraId="7ED4C492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特色指标</w:t>
            </w:r>
          </w:p>
        </w:tc>
        <w:tc>
          <w:tcPr>
            <w:tcW w:w="2143" w:type="dxa"/>
            <w:vAlign w:val="center"/>
          </w:tcPr>
          <w:p w14:paraId="4385FE77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重大</w:t>
            </w:r>
            <w:r>
              <w:rPr>
                <w:rFonts w:cs="Times New Roman"/>
                <w:kern w:val="0"/>
                <w:sz w:val="21"/>
                <w:szCs w:val="21"/>
              </w:rPr>
              <w:t>贡献</w:t>
            </w:r>
          </w:p>
        </w:tc>
        <w:tc>
          <w:tcPr>
            <w:tcW w:w="5011" w:type="dxa"/>
            <w:vAlign w:val="center"/>
          </w:tcPr>
          <w:p w14:paraId="067FE497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智库在决策咨询、公共外交、舆论引导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等</w:t>
            </w:r>
            <w:r>
              <w:rPr>
                <w:rFonts w:cs="Times New Roman"/>
                <w:kern w:val="0"/>
                <w:sz w:val="21"/>
                <w:szCs w:val="21"/>
              </w:rPr>
              <w:t>方面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取得显著成效</w:t>
            </w:r>
          </w:p>
        </w:tc>
      </w:tr>
      <w:tr w14:paraId="346BF925"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5625420F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6E64286A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体制机制创新</w:t>
            </w:r>
          </w:p>
        </w:tc>
        <w:tc>
          <w:tcPr>
            <w:tcW w:w="5011" w:type="dxa"/>
            <w:vAlign w:val="center"/>
          </w:tcPr>
          <w:p w14:paraId="136F6B16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智库在体制机制改革创新方面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取得重要典型经验</w:t>
            </w:r>
          </w:p>
        </w:tc>
      </w:tr>
      <w:tr w14:paraId="5592B607"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2D41C53A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4F38122B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荣誉</w:t>
            </w:r>
          </w:p>
        </w:tc>
        <w:tc>
          <w:tcPr>
            <w:tcW w:w="5011" w:type="dxa"/>
            <w:vAlign w:val="center"/>
          </w:tcPr>
          <w:p w14:paraId="351DDC21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获得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的</w:t>
            </w:r>
            <w:r>
              <w:rPr>
                <w:rFonts w:cs="Times New Roman"/>
                <w:kern w:val="0"/>
                <w:sz w:val="21"/>
                <w:szCs w:val="21"/>
              </w:rPr>
              <w:t>省部级及以上荣誉和奖励</w:t>
            </w:r>
          </w:p>
        </w:tc>
      </w:tr>
      <w:bookmarkEnd w:id="0"/>
    </w:tbl>
    <w:p w14:paraId="785E14CA">
      <w:pPr>
        <w:ind w:firstLine="0" w:firstLineChars="0"/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altName w:val="仿宋-简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362778E2">
        <w:pPr>
          <w:pStyle w:val="3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5547B3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F18"/>
    <w:rsid w:val="000330FA"/>
    <w:rsid w:val="000332B5"/>
    <w:rsid w:val="00056010"/>
    <w:rsid w:val="00073DCF"/>
    <w:rsid w:val="000B2CB1"/>
    <w:rsid w:val="000B77F0"/>
    <w:rsid w:val="000C07D6"/>
    <w:rsid w:val="000E7CA1"/>
    <w:rsid w:val="0012422E"/>
    <w:rsid w:val="00172606"/>
    <w:rsid w:val="001C09C8"/>
    <w:rsid w:val="00215CB5"/>
    <w:rsid w:val="00217B2C"/>
    <w:rsid w:val="0029536C"/>
    <w:rsid w:val="002A3323"/>
    <w:rsid w:val="002C22D8"/>
    <w:rsid w:val="00327876"/>
    <w:rsid w:val="003572AC"/>
    <w:rsid w:val="00394880"/>
    <w:rsid w:val="003B041C"/>
    <w:rsid w:val="003B53F3"/>
    <w:rsid w:val="003C45DB"/>
    <w:rsid w:val="004164C9"/>
    <w:rsid w:val="004165F5"/>
    <w:rsid w:val="00433F18"/>
    <w:rsid w:val="00447C38"/>
    <w:rsid w:val="00551D97"/>
    <w:rsid w:val="006B0BDC"/>
    <w:rsid w:val="006E6ADA"/>
    <w:rsid w:val="006F19FE"/>
    <w:rsid w:val="007056FF"/>
    <w:rsid w:val="007527DB"/>
    <w:rsid w:val="007B4F49"/>
    <w:rsid w:val="00831D29"/>
    <w:rsid w:val="008B0945"/>
    <w:rsid w:val="009227C6"/>
    <w:rsid w:val="00922B19"/>
    <w:rsid w:val="009A0D4E"/>
    <w:rsid w:val="009A59E0"/>
    <w:rsid w:val="00A139A7"/>
    <w:rsid w:val="00AE7D7C"/>
    <w:rsid w:val="00AF2606"/>
    <w:rsid w:val="00BD6A7A"/>
    <w:rsid w:val="00C0006C"/>
    <w:rsid w:val="00C23260"/>
    <w:rsid w:val="00C40E4D"/>
    <w:rsid w:val="00D05C95"/>
    <w:rsid w:val="00D714A4"/>
    <w:rsid w:val="00D87300"/>
    <w:rsid w:val="00DE70B1"/>
    <w:rsid w:val="00DF0BEA"/>
    <w:rsid w:val="00E22803"/>
    <w:rsid w:val="00E81AE7"/>
    <w:rsid w:val="00E954D1"/>
    <w:rsid w:val="00EA3EF5"/>
    <w:rsid w:val="00F54A87"/>
    <w:rsid w:val="1F5EA9E9"/>
    <w:rsid w:val="C7FD643C"/>
    <w:rsid w:val="F1FFE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annotation subject"/>
    <w:basedOn w:val="2"/>
    <w:next w:val="2"/>
    <w:link w:val="11"/>
    <w:semiHidden/>
    <w:unhideWhenUsed/>
    <w:uiPriority w:val="99"/>
    <w:rPr>
      <w:b/>
      <w:bCs/>
    </w:rPr>
  </w:style>
  <w:style w:type="table" w:styleId="6">
    <w:name w:val="Table Grid"/>
    <w:basedOn w:val="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semiHidden/>
    <w:unhideWhenUsed/>
    <w:uiPriority w:val="99"/>
    <w:rPr>
      <w:sz w:val="21"/>
      <w:szCs w:val="21"/>
    </w:rPr>
  </w:style>
  <w:style w:type="character" w:customStyle="1" w:styleId="9">
    <w:name w:val="页脚 字符"/>
    <w:basedOn w:val="7"/>
    <w:link w:val="3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10">
    <w:name w:val="批注文字 字符"/>
    <w:basedOn w:val="7"/>
    <w:link w:val="2"/>
    <w:semiHidden/>
    <w:uiPriority w:val="99"/>
    <w:rPr>
      <w:rFonts w:ascii="Times New Roman" w:hAnsi="Times New Roman" w:eastAsia="仿宋_GB2312"/>
      <w:sz w:val="32"/>
      <w:szCs w:val="24"/>
    </w:rPr>
  </w:style>
  <w:style w:type="character" w:customStyle="1" w:styleId="11">
    <w:name w:val="批注主题 字符"/>
    <w:basedOn w:val="10"/>
    <w:link w:val="4"/>
    <w:semiHidden/>
    <w:uiPriority w:val="99"/>
    <w:rPr>
      <w:rFonts w:ascii="Times New Roman" w:hAnsi="Times New Roman" w:eastAsia="仿宋_GB2312"/>
      <w:b/>
      <w:bCs/>
      <w:sz w:val="32"/>
      <w:szCs w:val="24"/>
    </w:rPr>
  </w:style>
  <w:style w:type="paragraph" w:customStyle="1" w:styleId="12">
    <w:name w:val="Revision"/>
    <w:hidden/>
    <w:unhideWhenUsed/>
    <w:uiPriority w:val="99"/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146</Words>
  <Characters>835</Characters>
  <Lines>6</Lines>
  <Paragraphs>1</Paragraphs>
  <TotalTime>42</TotalTime>
  <ScaleCrop>false</ScaleCrop>
  <LinksUpToDate>false</LinksUpToDate>
  <CharactersWithSpaces>980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2024-09-25T06:43:00Z</dcterms:created>
  <dc:creator>dawn</dc:creator>
  <cp:lastModifiedBy>Nicole</cp:lastModifiedBy>
  <dcterms:modified xsi:type="dcterms:W3CDTF">2026-09-14T16:31:43Z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60878D3AB8A55CA9EFB0A76A6E69C352_43</vt:lpwstr>
  </property>
</Properties>
</file>